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D3" w:rsidRPr="00FE0CD3" w:rsidRDefault="00FE0CD3" w:rsidP="00FE0CD3">
      <w:pPr>
        <w:spacing w:before="300" w:after="300" w:line="240" w:lineRule="auto"/>
        <w:jc w:val="center"/>
        <w:rPr>
          <w:rFonts w:ascii="Times New Roman" w:eastAsia="Times New Roman" w:hAnsi="Times New Roman" w:cs="Times New Roman"/>
          <w:color w:val="000000"/>
          <w:sz w:val="27"/>
          <w:szCs w:val="27"/>
          <w:lang w:eastAsia="pt-BR"/>
        </w:rPr>
      </w:pPr>
      <w:r w:rsidRPr="00FE0CD3">
        <w:rPr>
          <w:rFonts w:ascii="Arial" w:eastAsia="Times New Roman" w:hAnsi="Arial" w:cs="Arial"/>
          <w:b/>
          <w:bCs/>
          <w:color w:val="000080"/>
          <w:sz w:val="24"/>
          <w:szCs w:val="24"/>
          <w:lang w:eastAsia="pt-BR"/>
        </w:rPr>
        <w:fldChar w:fldCharType="begin"/>
      </w:r>
      <w:r w:rsidRPr="00FE0CD3">
        <w:rPr>
          <w:rFonts w:ascii="Arial" w:eastAsia="Times New Roman" w:hAnsi="Arial" w:cs="Arial"/>
          <w:b/>
          <w:bCs/>
          <w:color w:val="000080"/>
          <w:sz w:val="24"/>
          <w:szCs w:val="24"/>
          <w:lang w:eastAsia="pt-BR"/>
        </w:rPr>
        <w:instrText xml:space="preserve"> HYPERLINK "http://legislacao.planalto.gov.br/legisla/legislacao.nsf/Viw_Identificacao/DEC%209.830-2019?OpenDocument" </w:instrText>
      </w:r>
      <w:r w:rsidRPr="00FE0CD3">
        <w:rPr>
          <w:rFonts w:ascii="Arial" w:eastAsia="Times New Roman" w:hAnsi="Arial" w:cs="Arial"/>
          <w:b/>
          <w:bCs/>
          <w:color w:val="000080"/>
          <w:sz w:val="24"/>
          <w:szCs w:val="24"/>
          <w:lang w:eastAsia="pt-BR"/>
        </w:rPr>
        <w:fldChar w:fldCharType="separate"/>
      </w:r>
      <w:r w:rsidRPr="00FE0CD3">
        <w:rPr>
          <w:rFonts w:ascii="Arial" w:eastAsia="Times New Roman" w:hAnsi="Arial" w:cs="Arial"/>
          <w:b/>
          <w:bCs/>
          <w:color w:val="000080"/>
          <w:sz w:val="24"/>
          <w:szCs w:val="24"/>
          <w:u w:val="single"/>
          <w:lang w:eastAsia="pt-BR"/>
        </w:rPr>
        <w:t>DECRETO Nº 9.830, DE 10 DE JUNHO DE 2019</w:t>
      </w:r>
      <w:r w:rsidRPr="00FE0CD3">
        <w:rPr>
          <w:rFonts w:ascii="Arial" w:eastAsia="Times New Roman" w:hAnsi="Arial" w:cs="Arial"/>
          <w:b/>
          <w:bCs/>
          <w:color w:val="000080"/>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FE0CD3" w:rsidRPr="00FE0CD3" w:rsidTr="00FE0CD3">
        <w:trPr>
          <w:tblCellSpacing w:w="0" w:type="dxa"/>
        </w:trPr>
        <w:tc>
          <w:tcPr>
            <w:tcW w:w="2600" w:type="pct"/>
            <w:vAlign w:val="center"/>
            <w:hideMark/>
          </w:tcPr>
          <w:p w:rsidR="00FE0CD3" w:rsidRPr="00FE0CD3" w:rsidRDefault="00FE0CD3" w:rsidP="00FE0CD3">
            <w:pPr>
              <w:spacing w:after="0" w:line="240" w:lineRule="auto"/>
              <w:rPr>
                <w:rFonts w:ascii="Times New Roman" w:eastAsia="Times New Roman" w:hAnsi="Times New Roman" w:cs="Times New Roman"/>
                <w:sz w:val="24"/>
                <w:szCs w:val="24"/>
                <w:lang w:eastAsia="pt-BR"/>
              </w:rPr>
            </w:pPr>
            <w:r w:rsidRPr="00FE0CD3">
              <w:rPr>
                <w:rFonts w:ascii="Times New Roman" w:eastAsia="Times New Roman" w:hAnsi="Times New Roman" w:cs="Times New Roman"/>
                <w:sz w:val="24"/>
                <w:szCs w:val="24"/>
                <w:lang w:eastAsia="pt-BR"/>
              </w:rPr>
              <w:t> </w:t>
            </w:r>
          </w:p>
        </w:tc>
        <w:tc>
          <w:tcPr>
            <w:tcW w:w="2400" w:type="pct"/>
            <w:vAlign w:val="center"/>
            <w:hideMark/>
          </w:tcPr>
          <w:p w:rsidR="00FE0CD3" w:rsidRPr="00FE0CD3" w:rsidRDefault="00FE0CD3" w:rsidP="00FE0CD3">
            <w:pPr>
              <w:spacing w:before="100" w:beforeAutospacing="1" w:after="100" w:afterAutospacing="1" w:line="240" w:lineRule="auto"/>
              <w:rPr>
                <w:rFonts w:ascii="Times New Roman" w:eastAsia="Times New Roman" w:hAnsi="Times New Roman" w:cs="Times New Roman"/>
                <w:sz w:val="24"/>
                <w:szCs w:val="24"/>
                <w:lang w:eastAsia="pt-BR"/>
              </w:rPr>
            </w:pPr>
            <w:r w:rsidRPr="00FE0CD3">
              <w:rPr>
                <w:rFonts w:ascii="Arial" w:eastAsia="Times New Roman" w:hAnsi="Arial" w:cs="Arial"/>
                <w:color w:val="800000"/>
                <w:sz w:val="20"/>
                <w:szCs w:val="20"/>
                <w:lang w:eastAsia="pt-BR"/>
              </w:rPr>
              <w:t>Regulamenta o disposto nos art. 20 ao art. 30 do Decreto-Lei nº 4.657, de 4 de setembro de 1942, que institui a Lei de Introdução às normas do Direito brasileiro.</w:t>
            </w:r>
          </w:p>
        </w:tc>
      </w:tr>
    </w:tbl>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O PRESIDENTE DA REPÚBLICA</w:t>
      </w:r>
      <w:r w:rsidRPr="00FE0CD3">
        <w:rPr>
          <w:rFonts w:ascii="Arial" w:eastAsia="Times New Roman" w:hAnsi="Arial" w:cs="Arial"/>
          <w:color w:val="000000"/>
          <w:sz w:val="20"/>
          <w:szCs w:val="20"/>
          <w:lang w:eastAsia="pt-BR"/>
        </w:rPr>
        <w:t>, no uso das atribuições que lhe confere o art. 84,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incisos IV e VI, alínea “a”, da Constituição, e tendo em vista o disposto nos art. 20 ao art. 30 do Decreto-Lei nº 4.657, de 4 de setembro de 1942,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DECRETA</w:t>
      </w:r>
      <w:r w:rsidRPr="00FE0CD3">
        <w:rPr>
          <w:rFonts w:ascii="Arial" w:eastAsia="Times New Roman" w:hAnsi="Arial" w:cs="Arial"/>
          <w:color w:val="000000"/>
          <w:sz w:val="20"/>
          <w:szCs w:val="20"/>
          <w:lang w:eastAsia="pt-BR"/>
        </w:rPr>
        <w:t>: </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CAPÍTULO I</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DISPOSIÇÕES PRELIMINARES</w:t>
      </w:r>
      <w:r w:rsidRPr="00FE0CD3">
        <w:rPr>
          <w:rFonts w:ascii="Arial" w:eastAsia="Times New Roman" w:hAnsi="Arial" w:cs="Arial"/>
          <w:b/>
          <w:bCs/>
          <w:color w:val="000000"/>
          <w:sz w:val="20"/>
          <w:szCs w:val="20"/>
          <w:lang w:eastAsia="pt-BR"/>
        </w:rPr>
        <w:t>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Objeto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0" w:name="art1"/>
      <w:bookmarkEnd w:id="0"/>
      <w:r w:rsidRPr="00FE0CD3">
        <w:rPr>
          <w:rFonts w:ascii="Arial" w:eastAsia="Times New Roman" w:hAnsi="Arial" w:cs="Arial"/>
          <w:color w:val="000000"/>
          <w:sz w:val="20"/>
          <w:szCs w:val="20"/>
          <w:lang w:eastAsia="pt-BR"/>
        </w:rPr>
        <w:t>Art. 1º  Este Decreto regulamenta o disposto nos </w:t>
      </w:r>
      <w:hyperlink r:id="rId4" w:anchor="art20" w:history="1">
        <w:r w:rsidRPr="00FE0CD3">
          <w:rPr>
            <w:rFonts w:ascii="Arial" w:eastAsia="Times New Roman" w:hAnsi="Arial" w:cs="Arial"/>
            <w:color w:val="0000FF"/>
            <w:sz w:val="20"/>
            <w:szCs w:val="20"/>
            <w:u w:val="single"/>
            <w:lang w:eastAsia="pt-BR"/>
          </w:rPr>
          <w:t>art. 20 ao art. 30 do Decreto-Lei nº 4.657, de 4 de setembro de 1942</w:t>
        </w:r>
      </w:hyperlink>
      <w:r w:rsidRPr="00FE0CD3">
        <w:rPr>
          <w:rFonts w:ascii="Arial" w:eastAsia="Times New Roman" w:hAnsi="Arial" w:cs="Arial"/>
          <w:color w:val="000000"/>
          <w:sz w:val="20"/>
          <w:szCs w:val="20"/>
          <w:lang w:eastAsia="pt-BR"/>
        </w:rPr>
        <w:t>, que institui a Lei de Introdução às normas do Direito brasileiro. </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CAPÍTULO II</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DA DECISÃO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Motivação e decisão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 w:name="art2"/>
      <w:bookmarkEnd w:id="1"/>
      <w:r w:rsidRPr="00FE0CD3">
        <w:rPr>
          <w:rFonts w:ascii="Arial" w:eastAsia="Times New Roman" w:hAnsi="Arial" w:cs="Arial"/>
          <w:color w:val="000000"/>
          <w:sz w:val="20"/>
          <w:szCs w:val="20"/>
          <w:lang w:eastAsia="pt-BR"/>
        </w:rPr>
        <w:t>Art.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será motivada com a contextualização dos fatos, quando cabível, e com a indicação dos fundamentos de mérito e jurídicos.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da decisão conterá os seus fundamentos e apresentará a congruência entre as normas e os fatos que a embasaram, de forma argumentativa.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indicará as normas, a interpretação jurídica, a jurisprudência ou a doutrina que a embasaram.</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poderá ser constituída por declaração de concordância com o conteúdo de notas técnicas, pareceres, informações, decisões ou propostas que precederam a decisão.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Motivação e decisão baseadas em valores jurídicos abstratos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2" w:name="art3"/>
      <w:bookmarkEnd w:id="2"/>
      <w:r w:rsidRPr="00FE0CD3">
        <w:rPr>
          <w:rFonts w:ascii="Arial" w:eastAsia="Times New Roman" w:hAnsi="Arial" w:cs="Arial"/>
          <w:color w:val="000000"/>
          <w:sz w:val="20"/>
          <w:szCs w:val="20"/>
          <w:lang w:eastAsia="pt-BR"/>
        </w:rPr>
        <w:t>Art. 3</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que se basear exclusivamente em valores jurídicos abstratos observará o disposto no art. 2º e as consequências práticas da decisão.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Para</w:t>
      </w:r>
      <w:proofErr w:type="gramEnd"/>
      <w:r w:rsidRPr="00FE0CD3">
        <w:rPr>
          <w:rFonts w:ascii="Arial" w:eastAsia="Times New Roman" w:hAnsi="Arial" w:cs="Arial"/>
          <w:color w:val="000000"/>
          <w:sz w:val="20"/>
          <w:szCs w:val="20"/>
          <w:lang w:eastAsia="pt-BR"/>
        </w:rPr>
        <w:t xml:space="preserve"> fins do disposto neste Decreto, consideram-se valores jurídicos abstratos aqueles previstos em normas jurídicas com alto grau de indeterminação e abstração.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Na</w:t>
      </w:r>
      <w:proofErr w:type="gramEnd"/>
      <w:r w:rsidRPr="00FE0CD3">
        <w:rPr>
          <w:rFonts w:ascii="Arial" w:eastAsia="Times New Roman" w:hAnsi="Arial" w:cs="Arial"/>
          <w:color w:val="000000"/>
          <w:sz w:val="20"/>
          <w:szCs w:val="20"/>
          <w:lang w:eastAsia="pt-BR"/>
        </w:rPr>
        <w:t xml:space="preserve"> indicação das consequências práticas da decisão, o decisor apresentará apenas aquelas consequências práticas que, no exercício diligente de sua atuação, consiga vislumbrar diante dos fatos e fundamentos de mérito e jurídicos.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lastRenderedPageBreak/>
        <w:t>§ 3</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demonstrará a necessidade e a adequação da medida imposta, inclusive consideradas as possíveis alternativas e observados os critérios de adequação, proporcionalidade e de razoabilidade.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Motivação e decisão na invalidação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3" w:name="art4"/>
      <w:bookmarkEnd w:id="3"/>
      <w:r w:rsidRPr="00FE0CD3">
        <w:rPr>
          <w:rFonts w:ascii="Arial" w:eastAsia="Times New Roman" w:hAnsi="Arial" w:cs="Arial"/>
          <w:color w:val="000000"/>
          <w:sz w:val="20"/>
          <w:szCs w:val="20"/>
          <w:lang w:eastAsia="pt-BR"/>
        </w:rPr>
        <w:t>Art. 4</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que decretar invalidação de atos, contratos, ajustes, processos ou normas administrativos observará o disposto no art. 2º e indicará, de modo expresso, as suas consequências jurídicas e administrativas.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consideração das consequências jurídicas e administrativas é limitada aos fatos e fundamentos de mérito e jurídicos que se espera do decisor no exercício diligente de sua atuação.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demonstrará a necessidade e a adequação da medida imposta, consideradas as possíveis alternativas e observados os critérios de proporcionalidade e de razoabilidade.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Quando</w:t>
      </w:r>
      <w:proofErr w:type="gramEnd"/>
      <w:r w:rsidRPr="00FE0CD3">
        <w:rPr>
          <w:rFonts w:ascii="Arial" w:eastAsia="Times New Roman" w:hAnsi="Arial" w:cs="Arial"/>
          <w:color w:val="000000"/>
          <w:sz w:val="20"/>
          <w:szCs w:val="20"/>
          <w:lang w:eastAsia="pt-BR"/>
        </w:rPr>
        <w:t xml:space="preserve"> cabível, a decisão a que se refere o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indicará, na modulação de seus efeitos, as condições para que a regularização ocorra de forma proporcional e equânime e sem prejuízo aos interesses gerais.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4º Na declaração de invalidade de atos, contratos, ajustes, processos ou normas administrativos, o decisor poderá, consideradas as consequências jurídicas e administrativas da decisão para a administração pública e para o administrado: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 - </w:t>
      </w:r>
      <w:proofErr w:type="gramStart"/>
      <w:r w:rsidRPr="00FE0CD3">
        <w:rPr>
          <w:rFonts w:ascii="Arial" w:eastAsia="Times New Roman" w:hAnsi="Arial" w:cs="Arial"/>
          <w:color w:val="000000"/>
          <w:sz w:val="20"/>
          <w:szCs w:val="20"/>
          <w:lang w:eastAsia="pt-BR"/>
        </w:rPr>
        <w:t>restringir</w:t>
      </w:r>
      <w:proofErr w:type="gramEnd"/>
      <w:r w:rsidRPr="00FE0CD3">
        <w:rPr>
          <w:rFonts w:ascii="Arial" w:eastAsia="Times New Roman" w:hAnsi="Arial" w:cs="Arial"/>
          <w:color w:val="000000"/>
          <w:sz w:val="20"/>
          <w:szCs w:val="20"/>
          <w:lang w:eastAsia="pt-BR"/>
        </w:rPr>
        <w:t xml:space="preserve"> os efeitos da declaração; ou</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II - </w:t>
      </w:r>
      <w:proofErr w:type="gramStart"/>
      <w:r w:rsidRPr="00FE0CD3">
        <w:rPr>
          <w:rFonts w:ascii="Arial" w:eastAsia="Times New Roman" w:hAnsi="Arial" w:cs="Arial"/>
          <w:color w:val="000000"/>
          <w:sz w:val="20"/>
          <w:szCs w:val="20"/>
          <w:lang w:eastAsia="pt-BR"/>
        </w:rPr>
        <w:t>decidir</w:t>
      </w:r>
      <w:proofErr w:type="gramEnd"/>
      <w:r w:rsidRPr="00FE0CD3">
        <w:rPr>
          <w:rFonts w:ascii="Arial" w:eastAsia="Times New Roman" w:hAnsi="Arial" w:cs="Arial"/>
          <w:color w:val="000000"/>
          <w:sz w:val="20"/>
          <w:szCs w:val="20"/>
          <w:lang w:eastAsia="pt-BR"/>
        </w:rPr>
        <w:t xml:space="preserve"> que sua eficácia se iniciará em momento posteriormente definido.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5</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modulação dos efeitos da decisão buscará a mitigação dos ônus ou das perdas dos administrados ou da administração pública que sejam anormais ou excessivos em função das peculiaridades do caso.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Revisão quanto à validade por mudança de orientação geral</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4" w:name="art5"/>
      <w:bookmarkEnd w:id="4"/>
      <w:r w:rsidRPr="00FE0CD3">
        <w:rPr>
          <w:rFonts w:ascii="Arial" w:eastAsia="Times New Roman" w:hAnsi="Arial" w:cs="Arial"/>
          <w:color w:val="000000"/>
          <w:sz w:val="20"/>
          <w:szCs w:val="20"/>
          <w:lang w:eastAsia="pt-BR"/>
        </w:rPr>
        <w:t>Art. 5</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que determinar a revisão quanto à validade de atos, contratos, ajustes, processos ou normas administrativos cuja produção de efeitos esteja em curso ou que tenha sido concluída levará em consideração as orientações gerais da época.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É</w:t>
      </w:r>
      <w:proofErr w:type="gramEnd"/>
      <w:r w:rsidRPr="00FE0CD3">
        <w:rPr>
          <w:rFonts w:ascii="Arial" w:eastAsia="Times New Roman" w:hAnsi="Arial" w:cs="Arial"/>
          <w:color w:val="000000"/>
          <w:sz w:val="20"/>
          <w:szCs w:val="20"/>
          <w:lang w:eastAsia="pt-BR"/>
        </w:rPr>
        <w:t xml:space="preserve"> vedado declarar inválida situação plenamente constituída devido à mudança posterior de orientação geral.</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disposto no § 1º não exclui a possibilidade de suspensão de efeitos futuros de relação em curso.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Para</w:t>
      </w:r>
      <w:proofErr w:type="gramEnd"/>
      <w:r w:rsidRPr="00FE0CD3">
        <w:rPr>
          <w:rFonts w:ascii="Arial" w:eastAsia="Times New Roman" w:hAnsi="Arial" w:cs="Arial"/>
          <w:color w:val="000000"/>
          <w:sz w:val="20"/>
          <w:szCs w:val="20"/>
          <w:lang w:eastAsia="pt-BR"/>
        </w:rPr>
        <w:t xml:space="preserve"> fins do disposto neste artigo, consideram-se orientações gerais as interpretações e as especificações contidas em atos públicos de caráter geral ou em jurisprudência judicial ou administrativa majoritária e as adotadas por prática administrativa reiterada e de amplo conhecimento público.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4</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a que se refere o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será motivada na forma do disposto nos art. 2º, art. 3º ou art. 4º.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Motivação e decisão na nova interpretação de norma de conteúdo indeterminado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5" w:name="art6"/>
      <w:bookmarkEnd w:id="5"/>
      <w:r w:rsidRPr="00FE0CD3">
        <w:rPr>
          <w:rFonts w:ascii="Arial" w:eastAsia="Times New Roman" w:hAnsi="Arial" w:cs="Arial"/>
          <w:color w:val="000000"/>
          <w:sz w:val="20"/>
          <w:szCs w:val="20"/>
          <w:lang w:eastAsia="pt-BR"/>
        </w:rPr>
        <w:lastRenderedPageBreak/>
        <w:t>Art. 6</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administrativa que estabelecer interpretação ou orientação nova sobre norma de conteúdo indeterminado e impuser novo dever ou novo condicionamento de direito, preverá regime de transição, quando indispensável para que o novo dever ou o novo condicionamento de direito seja cumprido de modo proporcional, equânime e eficiente e sem prejuízo aos interesses gerais.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instituição do regime de transição será motivada na forma do disposto nos art. 2º, art. 3º ou art. 4º.</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considerará as condições e o tempo necessário para o cumprimento proporcional, equânime e eficiente do novo dever ou do novo condicionamento de direito e os eventuais prejuízos aos interesses gerais.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Considera</w:t>
      </w:r>
      <w:proofErr w:type="gramEnd"/>
      <w:r w:rsidRPr="00FE0CD3">
        <w:rPr>
          <w:rFonts w:ascii="Arial" w:eastAsia="Times New Roman" w:hAnsi="Arial" w:cs="Arial"/>
          <w:color w:val="000000"/>
          <w:sz w:val="20"/>
          <w:szCs w:val="20"/>
          <w:lang w:eastAsia="pt-BR"/>
        </w:rPr>
        <w:t>-se nova interpretação ou nova orientação aquela que altera o entendimento anterior consolidado.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Regime de transição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6" w:name="art7"/>
      <w:bookmarkEnd w:id="6"/>
      <w:r w:rsidRPr="00FE0CD3">
        <w:rPr>
          <w:rFonts w:ascii="Arial" w:eastAsia="Times New Roman" w:hAnsi="Arial" w:cs="Arial"/>
          <w:color w:val="000000"/>
          <w:sz w:val="20"/>
          <w:szCs w:val="20"/>
          <w:lang w:eastAsia="pt-BR"/>
        </w:rPr>
        <w:t>Art. 7</w:t>
      </w:r>
      <w:proofErr w:type="gramStart"/>
      <w:r w:rsidRPr="00FE0CD3">
        <w:rPr>
          <w:rFonts w:ascii="Arial" w:eastAsia="Times New Roman" w:hAnsi="Arial" w:cs="Arial"/>
          <w:color w:val="000000"/>
          <w:sz w:val="20"/>
          <w:szCs w:val="20"/>
          <w:lang w:eastAsia="pt-BR"/>
        </w:rPr>
        <w:t>º  Quando</w:t>
      </w:r>
      <w:proofErr w:type="gramEnd"/>
      <w:r w:rsidRPr="00FE0CD3">
        <w:rPr>
          <w:rFonts w:ascii="Arial" w:eastAsia="Times New Roman" w:hAnsi="Arial" w:cs="Arial"/>
          <w:color w:val="000000"/>
          <w:sz w:val="20"/>
          <w:szCs w:val="20"/>
          <w:lang w:eastAsia="pt-BR"/>
        </w:rPr>
        <w:t xml:space="preserve"> cabível, o regime de transição preverá:</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I - os órgãos e as entidades da administração pública e os terceiros destinatários;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II - </w:t>
      </w:r>
      <w:proofErr w:type="gramStart"/>
      <w:r w:rsidRPr="00FE0CD3">
        <w:rPr>
          <w:rFonts w:ascii="Arial" w:eastAsia="Times New Roman" w:hAnsi="Arial" w:cs="Arial"/>
          <w:color w:val="000000"/>
          <w:sz w:val="20"/>
          <w:szCs w:val="20"/>
          <w:lang w:eastAsia="pt-BR"/>
        </w:rPr>
        <w:t>as</w:t>
      </w:r>
      <w:proofErr w:type="gramEnd"/>
      <w:r w:rsidRPr="00FE0CD3">
        <w:rPr>
          <w:rFonts w:ascii="Arial" w:eastAsia="Times New Roman" w:hAnsi="Arial" w:cs="Arial"/>
          <w:color w:val="000000"/>
          <w:sz w:val="20"/>
          <w:szCs w:val="20"/>
          <w:lang w:eastAsia="pt-BR"/>
        </w:rPr>
        <w:t xml:space="preserve"> medidas administrativas a serem adotadas para adequação à interpretação ou à nova orientação sobre norma de conteúdo indeterminado; 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III - o prazo e o modo para que o novo dever ou novo condicionamento de direito seja cumprido.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Interpretação de normas sobre gestão pública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7" w:name="art8"/>
      <w:bookmarkEnd w:id="7"/>
      <w:r w:rsidRPr="00FE0CD3">
        <w:rPr>
          <w:rFonts w:ascii="Arial" w:eastAsia="Times New Roman" w:hAnsi="Arial" w:cs="Arial"/>
          <w:color w:val="000000"/>
          <w:sz w:val="20"/>
          <w:szCs w:val="20"/>
          <w:lang w:eastAsia="pt-BR"/>
        </w:rPr>
        <w:t>Art. 8</w:t>
      </w:r>
      <w:proofErr w:type="gramStart"/>
      <w:r w:rsidRPr="00FE0CD3">
        <w:rPr>
          <w:rFonts w:ascii="Arial" w:eastAsia="Times New Roman" w:hAnsi="Arial" w:cs="Arial"/>
          <w:color w:val="000000"/>
          <w:sz w:val="20"/>
          <w:szCs w:val="20"/>
          <w:lang w:eastAsia="pt-BR"/>
        </w:rPr>
        <w:t>º  Na</w:t>
      </w:r>
      <w:proofErr w:type="gramEnd"/>
      <w:r w:rsidRPr="00FE0CD3">
        <w:rPr>
          <w:rFonts w:ascii="Arial" w:eastAsia="Times New Roman" w:hAnsi="Arial" w:cs="Arial"/>
          <w:color w:val="000000"/>
          <w:sz w:val="20"/>
          <w:szCs w:val="20"/>
          <w:lang w:eastAsia="pt-BR"/>
        </w:rPr>
        <w:t xml:space="preserve"> interpretação de normas sobre gestão pública, serão considerados os obstáculos, as dificuldades reais do agente público e as exigências das políticas públicas a seu cargo, sem prejuízo dos direitos dos administrados.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Na</w:t>
      </w:r>
      <w:proofErr w:type="gramEnd"/>
      <w:r w:rsidRPr="00FE0CD3">
        <w:rPr>
          <w:rFonts w:ascii="Arial" w:eastAsia="Times New Roman" w:hAnsi="Arial" w:cs="Arial"/>
          <w:color w:val="000000"/>
          <w:sz w:val="20"/>
          <w:szCs w:val="20"/>
          <w:lang w:eastAsia="pt-BR"/>
        </w:rPr>
        <w:t xml:space="preserve"> decisão sobre a regularidade de conduta ou a validade de atos, contratos, ajustes, processos ou normas administrativos, serão consideradas as circunstâncias práticas que impuseram, limitaram ou condicionaram a ação do agente público.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a que se refere o § 1º observará o disposto nos art. 2º, art. 3º ou art. 4º.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Compensação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8" w:name="art9"/>
      <w:bookmarkEnd w:id="8"/>
      <w:r w:rsidRPr="00FE0CD3">
        <w:rPr>
          <w:rFonts w:ascii="Arial" w:eastAsia="Times New Roman" w:hAnsi="Arial" w:cs="Arial"/>
          <w:color w:val="000000"/>
          <w:sz w:val="20"/>
          <w:szCs w:val="20"/>
          <w:lang w:eastAsia="pt-BR"/>
        </w:rPr>
        <w:t>Art. 9</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do processo administrativo poderá impor diretamente à pessoa obrigada compensação por benefícios indevidos ou prejuízos anormais ou injustos resultantes do processo ou da conduta dos envolvidos, com a finalidade de evitar procedimentos contenciosos de ressarcimento de danos.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do processo administrativo é de competência da autoridade pública, que poderá exigir compensação por benefícios indevidamente fruídos pelo particular ou por prejuízos resultantes do processo ou da conduta do particular.</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compensação prevista no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será motivada na forma do disposto nos art. 2º, art. 3º ou art. 4º e será precedida de manifestação das partes obrigadas sobre seu cabimento, sua forma e, se for o caso, seu valor.</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lastRenderedPageBreak/>
        <w:t>§ 3</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compensação poderá ser efetivada por meio do compromisso com os interessados a que se refere o art. 10. </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CAPÍTULO III</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DOS INSTRUMENTOS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Compromisso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9" w:name="art10"/>
      <w:bookmarkEnd w:id="9"/>
      <w:r w:rsidRPr="00FE0CD3">
        <w:rPr>
          <w:rFonts w:ascii="Arial" w:eastAsia="Times New Roman" w:hAnsi="Arial" w:cs="Arial"/>
          <w:color w:val="000000"/>
          <w:sz w:val="20"/>
          <w:szCs w:val="20"/>
          <w:lang w:eastAsia="pt-BR"/>
        </w:rPr>
        <w:t>Art. 10.  Na hipótese de a autoridade entender conveniente para eliminar irregularidade, incerteza jurídica ou situações contenciosas na aplicação do direito público, poderá celebrar compromisso com os interessados, observada a legislação aplicável e as seguintes condições: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 - </w:t>
      </w:r>
      <w:proofErr w:type="gramStart"/>
      <w:r w:rsidRPr="00FE0CD3">
        <w:rPr>
          <w:rFonts w:ascii="Arial" w:eastAsia="Times New Roman" w:hAnsi="Arial" w:cs="Arial"/>
          <w:color w:val="000000"/>
          <w:sz w:val="20"/>
          <w:szCs w:val="20"/>
          <w:lang w:eastAsia="pt-BR"/>
        </w:rPr>
        <w:t>após</w:t>
      </w:r>
      <w:proofErr w:type="gramEnd"/>
      <w:r w:rsidRPr="00FE0CD3">
        <w:rPr>
          <w:rFonts w:ascii="Arial" w:eastAsia="Times New Roman" w:hAnsi="Arial" w:cs="Arial"/>
          <w:color w:val="000000"/>
          <w:sz w:val="20"/>
          <w:szCs w:val="20"/>
          <w:lang w:eastAsia="pt-BR"/>
        </w:rPr>
        <w:t xml:space="preserve"> oitiva do órgão jurídico;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II - </w:t>
      </w:r>
      <w:proofErr w:type="gramStart"/>
      <w:r w:rsidRPr="00FE0CD3">
        <w:rPr>
          <w:rFonts w:ascii="Arial" w:eastAsia="Times New Roman" w:hAnsi="Arial" w:cs="Arial"/>
          <w:color w:val="000000"/>
          <w:sz w:val="20"/>
          <w:szCs w:val="20"/>
          <w:lang w:eastAsia="pt-BR"/>
        </w:rPr>
        <w:t>após</w:t>
      </w:r>
      <w:proofErr w:type="gramEnd"/>
      <w:r w:rsidRPr="00FE0CD3">
        <w:rPr>
          <w:rFonts w:ascii="Arial" w:eastAsia="Times New Roman" w:hAnsi="Arial" w:cs="Arial"/>
          <w:color w:val="000000"/>
          <w:sz w:val="20"/>
          <w:szCs w:val="20"/>
          <w:lang w:eastAsia="pt-BR"/>
        </w:rPr>
        <w:t xml:space="preserve"> realização de consulta pública, caso seja cabível; 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III - presença de razões de relevante interesse geral.</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de celebrar o compromisso a que se refere o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será motivada na forma do disposto no art. 2º.</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compromisso: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 - </w:t>
      </w:r>
      <w:proofErr w:type="gramStart"/>
      <w:r w:rsidRPr="00FE0CD3">
        <w:rPr>
          <w:rFonts w:ascii="Arial" w:eastAsia="Times New Roman" w:hAnsi="Arial" w:cs="Arial"/>
          <w:color w:val="000000"/>
          <w:sz w:val="20"/>
          <w:szCs w:val="20"/>
          <w:lang w:eastAsia="pt-BR"/>
        </w:rPr>
        <w:t>buscará</w:t>
      </w:r>
      <w:proofErr w:type="gramEnd"/>
      <w:r w:rsidRPr="00FE0CD3">
        <w:rPr>
          <w:rFonts w:ascii="Arial" w:eastAsia="Times New Roman" w:hAnsi="Arial" w:cs="Arial"/>
          <w:color w:val="000000"/>
          <w:sz w:val="20"/>
          <w:szCs w:val="20"/>
          <w:lang w:eastAsia="pt-BR"/>
        </w:rPr>
        <w:t xml:space="preserve"> solução proporcional, equânime, eficiente e compatível com os interesses gerais;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II - </w:t>
      </w:r>
      <w:proofErr w:type="gramStart"/>
      <w:r w:rsidRPr="00FE0CD3">
        <w:rPr>
          <w:rFonts w:ascii="Arial" w:eastAsia="Times New Roman" w:hAnsi="Arial" w:cs="Arial"/>
          <w:color w:val="000000"/>
          <w:sz w:val="20"/>
          <w:szCs w:val="20"/>
          <w:lang w:eastAsia="pt-BR"/>
        </w:rPr>
        <w:t>não</w:t>
      </w:r>
      <w:proofErr w:type="gramEnd"/>
      <w:r w:rsidRPr="00FE0CD3">
        <w:rPr>
          <w:rFonts w:ascii="Arial" w:eastAsia="Times New Roman" w:hAnsi="Arial" w:cs="Arial"/>
          <w:color w:val="000000"/>
          <w:sz w:val="20"/>
          <w:szCs w:val="20"/>
          <w:lang w:eastAsia="pt-BR"/>
        </w:rPr>
        <w:t xml:space="preserve"> poderá conferir desoneração permanente de dever ou condicionamento de direito reconhecido por orientação geral; 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III - preverá:</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a) as obrigações das partes;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b) o prazo e o modo para seu cumprimento;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c) a forma de fiscalização quanto a sua observância;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d) os fundamentos de fato e de direito;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e) a sua eficácia de título executivo extrajudicial; 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f) as sanções aplicáveis em caso de descumprimento.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compromisso firmado somente produzirá efeitos a partir de sua publicação.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4</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processo que subsidiar a decisão de celebrar o compromisso será instruído com:</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 - </w:t>
      </w:r>
      <w:proofErr w:type="gramStart"/>
      <w:r w:rsidRPr="00FE0CD3">
        <w:rPr>
          <w:rFonts w:ascii="Arial" w:eastAsia="Times New Roman" w:hAnsi="Arial" w:cs="Arial"/>
          <w:color w:val="000000"/>
          <w:sz w:val="20"/>
          <w:szCs w:val="20"/>
          <w:lang w:eastAsia="pt-BR"/>
        </w:rPr>
        <w:t>o</w:t>
      </w:r>
      <w:proofErr w:type="gramEnd"/>
      <w:r w:rsidRPr="00FE0CD3">
        <w:rPr>
          <w:rFonts w:ascii="Arial" w:eastAsia="Times New Roman" w:hAnsi="Arial" w:cs="Arial"/>
          <w:color w:val="000000"/>
          <w:sz w:val="20"/>
          <w:szCs w:val="20"/>
          <w:lang w:eastAsia="pt-BR"/>
        </w:rPr>
        <w:t xml:space="preserve"> parecer técnico conclusivo do órgão competente sobre a viabilidade técnica, operacional e, quando for o caso, sobre as obrigações orçamentário-financeiras a serem assumidas;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II - </w:t>
      </w:r>
      <w:proofErr w:type="gramStart"/>
      <w:r w:rsidRPr="00FE0CD3">
        <w:rPr>
          <w:rFonts w:ascii="Arial" w:eastAsia="Times New Roman" w:hAnsi="Arial" w:cs="Arial"/>
          <w:color w:val="000000"/>
          <w:sz w:val="20"/>
          <w:szCs w:val="20"/>
          <w:lang w:eastAsia="pt-BR"/>
        </w:rPr>
        <w:t>o</w:t>
      </w:r>
      <w:proofErr w:type="gramEnd"/>
      <w:r w:rsidRPr="00FE0CD3">
        <w:rPr>
          <w:rFonts w:ascii="Arial" w:eastAsia="Times New Roman" w:hAnsi="Arial" w:cs="Arial"/>
          <w:color w:val="000000"/>
          <w:sz w:val="20"/>
          <w:szCs w:val="20"/>
          <w:lang w:eastAsia="pt-BR"/>
        </w:rPr>
        <w:t xml:space="preserve"> parecer conclusivo do órgão jurídico sobre a viabilidade jurídica do compromisso, que conterá a análise da minuta proposta;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lastRenderedPageBreak/>
        <w:t>III - a minuta do compromisso, que conterá as alterações decorrentes das análises técnica e jurídica previstas nos incisos I e II; 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IV - </w:t>
      </w:r>
      <w:proofErr w:type="gramStart"/>
      <w:r w:rsidRPr="00FE0CD3">
        <w:rPr>
          <w:rFonts w:ascii="Arial" w:eastAsia="Times New Roman" w:hAnsi="Arial" w:cs="Arial"/>
          <w:color w:val="000000"/>
          <w:sz w:val="20"/>
          <w:szCs w:val="20"/>
          <w:lang w:eastAsia="pt-BR"/>
        </w:rPr>
        <w:t>a</w:t>
      </w:r>
      <w:proofErr w:type="gramEnd"/>
      <w:r w:rsidRPr="00FE0CD3">
        <w:rPr>
          <w:rFonts w:ascii="Arial" w:eastAsia="Times New Roman" w:hAnsi="Arial" w:cs="Arial"/>
          <w:color w:val="000000"/>
          <w:sz w:val="20"/>
          <w:szCs w:val="20"/>
          <w:lang w:eastAsia="pt-BR"/>
        </w:rPr>
        <w:t xml:space="preserve"> cópia de outros documentos que possam auxiliar na decisão de celebrar o compromisso.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5º  Na hipótese de o compromisso depender de autorização do Advogado-Geral da União e de Ministro de Estado, nos termos do disposto no </w:t>
      </w:r>
      <w:hyperlink r:id="rId5" w:anchor="art1%C2%A74" w:history="1">
        <w:r w:rsidRPr="00FE0CD3">
          <w:rPr>
            <w:rFonts w:ascii="Arial" w:eastAsia="Times New Roman" w:hAnsi="Arial" w:cs="Arial"/>
            <w:color w:val="0000FF"/>
            <w:sz w:val="20"/>
            <w:szCs w:val="20"/>
            <w:u w:val="single"/>
            <w:lang w:eastAsia="pt-BR"/>
          </w:rPr>
          <w:t>§ 4º do art. 1º</w:t>
        </w:r>
      </w:hyperlink>
      <w:r w:rsidRPr="00FE0CD3">
        <w:rPr>
          <w:rFonts w:ascii="Arial" w:eastAsia="Times New Roman" w:hAnsi="Arial" w:cs="Arial"/>
          <w:color w:val="000000"/>
          <w:sz w:val="20"/>
          <w:szCs w:val="20"/>
          <w:lang w:eastAsia="pt-BR"/>
        </w:rPr>
        <w:t> ou no </w:t>
      </w:r>
      <w:hyperlink r:id="rId6" w:anchor="art4a" w:history="1">
        <w:r w:rsidRPr="00FE0CD3">
          <w:rPr>
            <w:rFonts w:ascii="Arial" w:eastAsia="Times New Roman" w:hAnsi="Arial" w:cs="Arial"/>
            <w:color w:val="0000FF"/>
            <w:sz w:val="20"/>
            <w:szCs w:val="20"/>
            <w:u w:val="single"/>
            <w:lang w:eastAsia="pt-BR"/>
          </w:rPr>
          <w:t>art. 4º-A da Lei nº 9.469, de 10 de julho de 1997</w:t>
        </w:r>
      </w:hyperlink>
      <w:r w:rsidRPr="00FE0CD3">
        <w:rPr>
          <w:rFonts w:ascii="Arial" w:eastAsia="Times New Roman" w:hAnsi="Arial" w:cs="Arial"/>
          <w:color w:val="000000"/>
          <w:sz w:val="20"/>
          <w:szCs w:val="20"/>
          <w:lang w:eastAsia="pt-BR"/>
        </w:rPr>
        <w:t>, ou ser firmado pela Advocacia-Geral da União, o processo de que trata o § 3º será acompanhado de manifestação de interesse da autoridade máxima do órgão ou da entidade da administração pública na celebração do compromisso.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6º  Na hipótese de que trata o § 5º, a decisão final quanto à celebração do compromisso será do Advogado-Geral da União, nos termos do disposto no parágrafo único do </w:t>
      </w:r>
      <w:hyperlink r:id="rId7" w:anchor="art4a" w:history="1">
        <w:r w:rsidRPr="00FE0CD3">
          <w:rPr>
            <w:rFonts w:ascii="Arial" w:eastAsia="Times New Roman" w:hAnsi="Arial" w:cs="Arial"/>
            <w:color w:val="0000FF"/>
            <w:sz w:val="20"/>
            <w:szCs w:val="20"/>
            <w:u w:val="single"/>
            <w:lang w:eastAsia="pt-BR"/>
          </w:rPr>
          <w:t>art. 4º-A da Lei nº 9.469, de 1997</w:t>
        </w:r>
      </w:hyperlink>
      <w:r w:rsidRPr="00FE0CD3">
        <w:rPr>
          <w:rFonts w:ascii="Arial" w:eastAsia="Times New Roman" w:hAnsi="Arial" w:cs="Arial"/>
          <w:color w:val="000000"/>
          <w:sz w:val="20"/>
          <w:szCs w:val="20"/>
          <w:lang w:eastAsia="pt-BR"/>
        </w:rPr>
        <w:t>.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Termo de ajustamento de gestão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0" w:name="art11"/>
      <w:bookmarkEnd w:id="10"/>
      <w:r w:rsidRPr="00FE0CD3">
        <w:rPr>
          <w:rFonts w:ascii="Arial" w:eastAsia="Times New Roman" w:hAnsi="Arial" w:cs="Arial"/>
          <w:color w:val="000000"/>
          <w:sz w:val="20"/>
          <w:szCs w:val="20"/>
          <w:lang w:eastAsia="pt-BR"/>
        </w:rPr>
        <w:t>Art. 11.  Poderá ser celebrado termo de ajustamento de gestão entre os agentes públicos e os órgãos de controle interno da administração pública com a finalidade de corrigir falhas apontadas em ações de controle, aprimorar procedimentos, assegurar a continuidade da execução do objeto, sempre que possível, e garantir o atendimento do interesse geral.</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de celebrar o termo de ajustamento de gestão será motivada na forma do disposto no art. 2º.</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Não</w:t>
      </w:r>
      <w:proofErr w:type="gramEnd"/>
      <w:r w:rsidRPr="00FE0CD3">
        <w:rPr>
          <w:rFonts w:ascii="Arial" w:eastAsia="Times New Roman" w:hAnsi="Arial" w:cs="Arial"/>
          <w:color w:val="000000"/>
          <w:sz w:val="20"/>
          <w:szCs w:val="20"/>
          <w:lang w:eastAsia="pt-BR"/>
        </w:rPr>
        <w:t xml:space="preserve"> será celebrado termo de ajustamento de gestão na hipótese de ocorrência de </w:t>
      </w:r>
      <w:proofErr w:type="spellStart"/>
      <w:r w:rsidRPr="00FE0CD3">
        <w:rPr>
          <w:rFonts w:ascii="Arial" w:eastAsia="Times New Roman" w:hAnsi="Arial" w:cs="Arial"/>
          <w:color w:val="000000"/>
          <w:sz w:val="20"/>
          <w:szCs w:val="20"/>
          <w:lang w:eastAsia="pt-BR"/>
        </w:rPr>
        <w:t>dano</w:t>
      </w:r>
      <w:proofErr w:type="spellEnd"/>
      <w:r w:rsidRPr="00FE0CD3">
        <w:rPr>
          <w:rFonts w:ascii="Arial" w:eastAsia="Times New Roman" w:hAnsi="Arial" w:cs="Arial"/>
          <w:color w:val="000000"/>
          <w:sz w:val="20"/>
          <w:szCs w:val="20"/>
          <w:lang w:eastAsia="pt-BR"/>
        </w:rPr>
        <w:t xml:space="preserve"> ao erário praticado por agentes públicos que agirem com dolo ou erro grosseiro.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assinatura de termo de ajustamento de gestão será comunicada ao órgão central do sistema de controle interno. </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CAPÍTULO IV</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DA RESPONSABILIZAÇÃO DO AGENTE PÚBLICO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Responsabilização na hipótese de dolo ou erro grosseiro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1" w:name="art12"/>
      <w:bookmarkEnd w:id="11"/>
      <w:r w:rsidRPr="00FE0CD3">
        <w:rPr>
          <w:rFonts w:ascii="Arial" w:eastAsia="Times New Roman" w:hAnsi="Arial" w:cs="Arial"/>
          <w:color w:val="000000"/>
          <w:sz w:val="20"/>
          <w:szCs w:val="20"/>
          <w:lang w:eastAsia="pt-BR"/>
        </w:rPr>
        <w:t>Art. 12.  O agente público somente poderá ser responsabilizado por suas decisões ou opiniões técnicas se agir ou se omitir com dolo, direto ou eventual, ou cometer erro grosseiro, no desempenho de suas funções.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Considera</w:t>
      </w:r>
      <w:proofErr w:type="gramEnd"/>
      <w:r w:rsidRPr="00FE0CD3">
        <w:rPr>
          <w:rFonts w:ascii="Arial" w:eastAsia="Times New Roman" w:hAnsi="Arial" w:cs="Arial"/>
          <w:color w:val="000000"/>
          <w:sz w:val="20"/>
          <w:szCs w:val="20"/>
          <w:lang w:eastAsia="pt-BR"/>
        </w:rPr>
        <w:t>-se erro grosseiro aquele manifesto, evidente e inescusável praticado com culpa grave, caracterizado por ação ou omissão com elevado grau de negligência, imprudência ou imperícia.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Não</w:t>
      </w:r>
      <w:proofErr w:type="gramEnd"/>
      <w:r w:rsidRPr="00FE0CD3">
        <w:rPr>
          <w:rFonts w:ascii="Arial" w:eastAsia="Times New Roman" w:hAnsi="Arial" w:cs="Arial"/>
          <w:color w:val="000000"/>
          <w:sz w:val="20"/>
          <w:szCs w:val="20"/>
          <w:lang w:eastAsia="pt-BR"/>
        </w:rPr>
        <w:t xml:space="preserve"> será configurado dolo ou erro grosseiro do agente público se não restar comprovada, nos autos do processo de responsabilização, situação ou circunstância fática capaz de caracterizar o dolo ou o erro grosseiro.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mero nexo de causalidade entre a conduta e o resultado danoso não implica responsabilização, exceto se comprovado o dolo ou o erro grosseiro do agente público.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4</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complexidade da matéria e das atribuições exercidas pelo agente público serão consideradas em eventual responsabilização do agente público.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lastRenderedPageBreak/>
        <w:t>§ 5</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montante do dano ao erário, ainda que expressivo, não poderá, por si só, ser elemento para caracterizar o erro grosseiro ou o dolo.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6º  A responsabilização pela opinião técnica não se estende de forma automática ao decisor que a adotou como fundamento de decidir e somente se configurará se estiverem presentes elementos suficientes para o decisor aferir o dolo ou o erro grosseiro da opinião técnica ou se houver conluio entre os agentes.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7</w:t>
      </w:r>
      <w:proofErr w:type="gramStart"/>
      <w:r w:rsidRPr="00FE0CD3">
        <w:rPr>
          <w:rFonts w:ascii="Arial" w:eastAsia="Times New Roman" w:hAnsi="Arial" w:cs="Arial"/>
          <w:color w:val="000000"/>
          <w:sz w:val="20"/>
          <w:szCs w:val="20"/>
          <w:lang w:eastAsia="pt-BR"/>
        </w:rPr>
        <w:t>º  No</w:t>
      </w:r>
      <w:proofErr w:type="gramEnd"/>
      <w:r w:rsidRPr="00FE0CD3">
        <w:rPr>
          <w:rFonts w:ascii="Arial" w:eastAsia="Times New Roman" w:hAnsi="Arial" w:cs="Arial"/>
          <w:color w:val="000000"/>
          <w:sz w:val="20"/>
          <w:szCs w:val="20"/>
          <w:lang w:eastAsia="pt-BR"/>
        </w:rPr>
        <w:t xml:space="preserve"> exercício do poder hierárquico, só responderá por </w:t>
      </w:r>
      <w:r w:rsidRPr="00FE0CD3">
        <w:rPr>
          <w:rFonts w:ascii="Arial" w:eastAsia="Times New Roman" w:hAnsi="Arial" w:cs="Arial"/>
          <w:b/>
          <w:bCs/>
          <w:color w:val="000000"/>
          <w:sz w:val="20"/>
          <w:szCs w:val="20"/>
          <w:lang w:eastAsia="pt-BR"/>
        </w:rPr>
        <w:t>culpa in vigilando</w:t>
      </w:r>
      <w:r w:rsidRPr="00FE0CD3">
        <w:rPr>
          <w:rFonts w:ascii="Arial" w:eastAsia="Times New Roman" w:hAnsi="Arial" w:cs="Arial"/>
          <w:color w:val="000000"/>
          <w:sz w:val="20"/>
          <w:szCs w:val="20"/>
          <w:lang w:eastAsia="pt-BR"/>
        </w:rPr>
        <w:t> aquele cuja omissão caracterizar erro grosseiro ou dolo.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8</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disposto neste artigo não exime o agente público de atuar de forma diligente e eficiente no cumprimento dos seus deveres constitucionais e legais.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Análise de regularidade da decisão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2" w:name="art13"/>
      <w:bookmarkEnd w:id="12"/>
      <w:r w:rsidRPr="00FE0CD3">
        <w:rPr>
          <w:rFonts w:ascii="Arial" w:eastAsia="Times New Roman" w:hAnsi="Arial" w:cs="Arial"/>
          <w:color w:val="000000"/>
          <w:sz w:val="20"/>
          <w:szCs w:val="20"/>
          <w:lang w:eastAsia="pt-BR"/>
        </w:rPr>
        <w:t>Art. 13.  A análise da regularidade da decisão não poderá substituir a atribuição do agente público, dos órgãos ou das entidades da administração pública no exercício de suas atribuições e competências, inclusive quanto à definição de políticas públicas.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w:t>
      </w:r>
      <w:proofErr w:type="spellStart"/>
      <w:r w:rsidRPr="00FE0CD3">
        <w:rPr>
          <w:rFonts w:ascii="Arial" w:eastAsia="Times New Roman" w:hAnsi="Arial" w:cs="Arial"/>
          <w:color w:val="000000"/>
          <w:sz w:val="20"/>
          <w:szCs w:val="20"/>
          <w:lang w:eastAsia="pt-BR"/>
        </w:rPr>
        <w:t>atução</w:t>
      </w:r>
      <w:proofErr w:type="spellEnd"/>
      <w:r w:rsidRPr="00FE0CD3">
        <w:rPr>
          <w:rFonts w:ascii="Arial" w:eastAsia="Times New Roman" w:hAnsi="Arial" w:cs="Arial"/>
          <w:color w:val="000000"/>
          <w:sz w:val="20"/>
          <w:szCs w:val="20"/>
          <w:lang w:eastAsia="pt-BR"/>
        </w:rPr>
        <w:t xml:space="preserve"> de órgãos de controle privilegiará ações de prevenção antes de processos sancionadores.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eventual estimativa de prejuízo causado ao erário não poderá ser considerada isolada e exclusivamente como motivação para se concluir pela irregularidade de atos, contratos, ajustes, processos ou normas administrativos.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Direito de regresso, defesa judicial e extrajudicial</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3" w:name="art14"/>
      <w:bookmarkEnd w:id="13"/>
      <w:r w:rsidRPr="00FE0CD3">
        <w:rPr>
          <w:rFonts w:ascii="Arial" w:eastAsia="Times New Roman" w:hAnsi="Arial" w:cs="Arial"/>
          <w:color w:val="000000"/>
          <w:sz w:val="20"/>
          <w:szCs w:val="20"/>
          <w:lang w:eastAsia="pt-BR"/>
        </w:rPr>
        <w:t>Art. 14.  No âmbito do Poder Executivo federal, o direito de regresso previsto no </w:t>
      </w:r>
      <w:hyperlink r:id="rId8" w:anchor="art37%C2%A76" w:history="1">
        <w:r w:rsidRPr="00FE0CD3">
          <w:rPr>
            <w:rFonts w:ascii="Arial" w:eastAsia="Times New Roman" w:hAnsi="Arial" w:cs="Arial"/>
            <w:color w:val="0000FF"/>
            <w:sz w:val="20"/>
            <w:szCs w:val="20"/>
            <w:u w:val="single"/>
            <w:lang w:eastAsia="pt-BR"/>
          </w:rPr>
          <w:t>§ 6º do art. 37 da Constituição</w:t>
        </w:r>
      </w:hyperlink>
      <w:r w:rsidRPr="00FE0CD3">
        <w:rPr>
          <w:rFonts w:ascii="Arial" w:eastAsia="Times New Roman" w:hAnsi="Arial" w:cs="Arial"/>
          <w:color w:val="000000"/>
          <w:sz w:val="20"/>
          <w:szCs w:val="20"/>
          <w:lang w:eastAsia="pt-BR"/>
        </w:rPr>
        <w:t> somente será exercido na hipótese de o agente público ter agido com dolo ou erro grosseiro em suas decisões ou opiniões técnicas, nos termos do disposto no </w:t>
      </w:r>
      <w:hyperlink r:id="rId9" w:anchor="art28" w:history="1">
        <w:r w:rsidRPr="00FE0CD3">
          <w:rPr>
            <w:rFonts w:ascii="Arial" w:eastAsia="Times New Roman" w:hAnsi="Arial" w:cs="Arial"/>
            <w:color w:val="0000FF"/>
            <w:sz w:val="20"/>
            <w:szCs w:val="20"/>
            <w:u w:val="single"/>
            <w:lang w:eastAsia="pt-BR"/>
          </w:rPr>
          <w:t>art. 28 do Decreto-Lei nº 4.657, de 1942</w:t>
        </w:r>
      </w:hyperlink>
      <w:r w:rsidRPr="00FE0CD3">
        <w:rPr>
          <w:rFonts w:ascii="Arial" w:eastAsia="Times New Roman" w:hAnsi="Arial" w:cs="Arial"/>
          <w:color w:val="000000"/>
          <w:sz w:val="20"/>
          <w:szCs w:val="20"/>
          <w:lang w:eastAsia="pt-BR"/>
        </w:rPr>
        <w:t>, e com observância aos princípios constitucionais da proporcionalidade e da razoabilidade.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4" w:name="art15"/>
      <w:bookmarkEnd w:id="14"/>
      <w:r w:rsidRPr="00FE0CD3">
        <w:rPr>
          <w:rFonts w:ascii="Arial" w:eastAsia="Times New Roman" w:hAnsi="Arial" w:cs="Arial"/>
          <w:color w:val="000000"/>
          <w:sz w:val="20"/>
          <w:szCs w:val="20"/>
          <w:lang w:eastAsia="pt-BR"/>
        </w:rPr>
        <w:t>Art. 15.  O agente público federal que tiver que se defender, judicial ou extrajudicialmente, por ato ou conduta praticada no exercício regular de suas atribuições institucionais, poderá solicitar à Advocacia-Geral da União que avalie a verossimilhança de suas alegações e a consequente possibilidade de realizar sua defesa, nos termos do disposto no </w:t>
      </w:r>
      <w:hyperlink r:id="rId10" w:anchor="art22.." w:history="1">
        <w:r w:rsidRPr="00FE0CD3">
          <w:rPr>
            <w:rFonts w:ascii="Arial" w:eastAsia="Times New Roman" w:hAnsi="Arial" w:cs="Arial"/>
            <w:color w:val="0000FF"/>
            <w:sz w:val="20"/>
            <w:szCs w:val="20"/>
            <w:u w:val="single"/>
            <w:lang w:eastAsia="pt-BR"/>
          </w:rPr>
          <w:t>art. 22 da Lei nº 9.028, de 12 de abril de 1995</w:t>
        </w:r>
      </w:hyperlink>
      <w:r w:rsidRPr="00FE0CD3">
        <w:rPr>
          <w:rFonts w:ascii="Arial" w:eastAsia="Times New Roman" w:hAnsi="Arial" w:cs="Arial"/>
          <w:color w:val="000000"/>
          <w:sz w:val="20"/>
          <w:szCs w:val="20"/>
          <w:lang w:eastAsia="pt-BR"/>
        </w:rPr>
        <w:t>, e nas demais normas de regência.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Decisão que impuser sanção ao agente público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5" w:name="art16"/>
      <w:bookmarkEnd w:id="15"/>
      <w:r w:rsidRPr="00FE0CD3">
        <w:rPr>
          <w:rFonts w:ascii="Arial" w:eastAsia="Times New Roman" w:hAnsi="Arial" w:cs="Arial"/>
          <w:color w:val="000000"/>
          <w:sz w:val="20"/>
          <w:szCs w:val="20"/>
          <w:lang w:eastAsia="pt-BR"/>
        </w:rPr>
        <w:t>Art. 16.  A decisão que impuser sanção ao agente público considerará:</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I - a natureza e a gravidade da infração cometida;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II - </w:t>
      </w:r>
      <w:proofErr w:type="gramStart"/>
      <w:r w:rsidRPr="00FE0CD3">
        <w:rPr>
          <w:rFonts w:ascii="Arial" w:eastAsia="Times New Roman" w:hAnsi="Arial" w:cs="Arial"/>
          <w:color w:val="000000"/>
          <w:sz w:val="20"/>
          <w:szCs w:val="20"/>
          <w:lang w:eastAsia="pt-BR"/>
        </w:rPr>
        <w:t>os</w:t>
      </w:r>
      <w:proofErr w:type="gramEnd"/>
      <w:r w:rsidRPr="00FE0CD3">
        <w:rPr>
          <w:rFonts w:ascii="Arial" w:eastAsia="Times New Roman" w:hAnsi="Arial" w:cs="Arial"/>
          <w:color w:val="000000"/>
          <w:sz w:val="20"/>
          <w:szCs w:val="20"/>
          <w:lang w:eastAsia="pt-BR"/>
        </w:rPr>
        <w:t xml:space="preserve"> danos que dela provierem para a administração pública;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III - as circunstâncias agravantes ou atenuantes;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IV - </w:t>
      </w:r>
      <w:proofErr w:type="gramStart"/>
      <w:r w:rsidRPr="00FE0CD3">
        <w:rPr>
          <w:rFonts w:ascii="Arial" w:eastAsia="Times New Roman" w:hAnsi="Arial" w:cs="Arial"/>
          <w:color w:val="000000"/>
          <w:sz w:val="20"/>
          <w:szCs w:val="20"/>
          <w:lang w:eastAsia="pt-BR"/>
        </w:rPr>
        <w:t>os</w:t>
      </w:r>
      <w:proofErr w:type="gramEnd"/>
      <w:r w:rsidRPr="00FE0CD3">
        <w:rPr>
          <w:rFonts w:ascii="Arial" w:eastAsia="Times New Roman" w:hAnsi="Arial" w:cs="Arial"/>
          <w:color w:val="000000"/>
          <w:sz w:val="20"/>
          <w:szCs w:val="20"/>
          <w:lang w:eastAsia="pt-BR"/>
        </w:rPr>
        <w:t xml:space="preserve"> antecedentes do agente;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xml:space="preserve">V - </w:t>
      </w:r>
      <w:proofErr w:type="gramStart"/>
      <w:r w:rsidRPr="00FE0CD3">
        <w:rPr>
          <w:rFonts w:ascii="Arial" w:eastAsia="Times New Roman" w:hAnsi="Arial" w:cs="Arial"/>
          <w:color w:val="000000"/>
          <w:sz w:val="20"/>
          <w:szCs w:val="20"/>
          <w:lang w:eastAsia="pt-BR"/>
        </w:rPr>
        <w:t>o</w:t>
      </w:r>
      <w:proofErr w:type="gramEnd"/>
      <w:r w:rsidRPr="00FE0CD3">
        <w:rPr>
          <w:rFonts w:ascii="Arial" w:eastAsia="Times New Roman" w:hAnsi="Arial" w:cs="Arial"/>
          <w:color w:val="000000"/>
          <w:sz w:val="20"/>
          <w:szCs w:val="20"/>
          <w:lang w:eastAsia="pt-BR"/>
        </w:rPr>
        <w:t xml:space="preserve"> nexo de causalidade; 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lastRenderedPageBreak/>
        <w:t xml:space="preserve">VI - </w:t>
      </w:r>
      <w:proofErr w:type="gramStart"/>
      <w:r w:rsidRPr="00FE0CD3">
        <w:rPr>
          <w:rFonts w:ascii="Arial" w:eastAsia="Times New Roman" w:hAnsi="Arial" w:cs="Arial"/>
          <w:color w:val="000000"/>
          <w:sz w:val="20"/>
          <w:szCs w:val="20"/>
          <w:lang w:eastAsia="pt-BR"/>
        </w:rPr>
        <w:t>a</w:t>
      </w:r>
      <w:proofErr w:type="gramEnd"/>
      <w:r w:rsidRPr="00FE0CD3">
        <w:rPr>
          <w:rFonts w:ascii="Arial" w:eastAsia="Times New Roman" w:hAnsi="Arial" w:cs="Arial"/>
          <w:color w:val="000000"/>
          <w:sz w:val="20"/>
          <w:szCs w:val="20"/>
          <w:lang w:eastAsia="pt-BR"/>
        </w:rPr>
        <w:t xml:space="preserve"> culpabilidade do agente.</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motivação da decisão a que se refere o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observará o disposto neste Decreto.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As</w:t>
      </w:r>
      <w:proofErr w:type="gramEnd"/>
      <w:r w:rsidRPr="00FE0CD3">
        <w:rPr>
          <w:rFonts w:ascii="Arial" w:eastAsia="Times New Roman" w:hAnsi="Arial" w:cs="Arial"/>
          <w:color w:val="000000"/>
          <w:sz w:val="20"/>
          <w:szCs w:val="20"/>
          <w:lang w:eastAsia="pt-BR"/>
        </w:rPr>
        <w:t xml:space="preserve"> sanções aplicadas ao agente público serão levadas em conta na dosimetria das demais sanções da mesma natureza e relativas ao mesmo fato.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6" w:name="art17"/>
      <w:bookmarkEnd w:id="16"/>
      <w:r w:rsidRPr="00FE0CD3">
        <w:rPr>
          <w:rFonts w:ascii="Arial" w:eastAsia="Times New Roman" w:hAnsi="Arial" w:cs="Arial"/>
          <w:color w:val="000000"/>
          <w:sz w:val="20"/>
          <w:szCs w:val="20"/>
          <w:lang w:eastAsia="pt-BR"/>
        </w:rPr>
        <w:t>Art. 17.  O disposto no art. 12 não afasta a possibilidade de aplicação de sanções previstas em normas disciplinares, inclusive nos casos de ação ou de omissão culposas de natureza leve. </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CAPÍTULO V</w:t>
      </w:r>
    </w:p>
    <w:p w:rsidR="00FE0CD3" w:rsidRPr="00FE0CD3" w:rsidRDefault="00FE0CD3" w:rsidP="00FE0CD3">
      <w:pPr>
        <w:spacing w:before="300" w:after="300" w:line="240" w:lineRule="auto"/>
        <w:ind w:firstLine="567"/>
        <w:jc w:val="center"/>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DA SEGURANÇA JURÍDICA NA APLICAÇÃO DAS NORMAS</w:t>
      </w:r>
      <w:r w:rsidRPr="00FE0CD3">
        <w:rPr>
          <w:rFonts w:ascii="Arial" w:eastAsia="Times New Roman" w:hAnsi="Arial" w:cs="Arial"/>
          <w:b/>
          <w:bCs/>
          <w:color w:val="000000"/>
          <w:sz w:val="20"/>
          <w:szCs w:val="20"/>
          <w:lang w:eastAsia="pt-BR"/>
        </w:rPr>
        <w:t>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Consulta pública para edição de atos normativos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7" w:name="art18"/>
      <w:bookmarkEnd w:id="17"/>
      <w:r w:rsidRPr="00FE0CD3">
        <w:rPr>
          <w:rFonts w:ascii="Arial" w:eastAsia="Times New Roman" w:hAnsi="Arial" w:cs="Arial"/>
          <w:color w:val="000000"/>
          <w:sz w:val="20"/>
          <w:szCs w:val="20"/>
          <w:lang w:eastAsia="pt-BR"/>
        </w:rPr>
        <w:t>Art. 18.  A edição de atos normativos por autoridade administrativa poderá ser precedida de consulta pública para manifestação de interessados, preferencialmente por meio eletrônico.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decisão pela convocação de consulta pública será motivada na forma do disposto no art. 3º.</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convocação de consulta pública conterá a minuta do ato normativo, disponibilizará a motivação do ato e fixará o prazo e as demais condições.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3</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autoridade </w:t>
      </w:r>
      <w:proofErr w:type="spellStart"/>
      <w:r w:rsidRPr="00FE0CD3">
        <w:rPr>
          <w:rFonts w:ascii="Arial" w:eastAsia="Times New Roman" w:hAnsi="Arial" w:cs="Arial"/>
          <w:color w:val="000000"/>
          <w:sz w:val="20"/>
          <w:szCs w:val="20"/>
          <w:lang w:eastAsia="pt-BR"/>
        </w:rPr>
        <w:t>decisora</w:t>
      </w:r>
      <w:proofErr w:type="spellEnd"/>
      <w:r w:rsidRPr="00FE0CD3">
        <w:rPr>
          <w:rFonts w:ascii="Arial" w:eastAsia="Times New Roman" w:hAnsi="Arial" w:cs="Arial"/>
          <w:color w:val="000000"/>
          <w:sz w:val="20"/>
          <w:szCs w:val="20"/>
          <w:lang w:eastAsia="pt-BR"/>
        </w:rPr>
        <w:t xml:space="preserve"> não será obrigada a comentar ou considerar individualmente as manifestações apresentadas e poderá agrupar manifestações por conexão e eliminar aquelas repetitivas ou de conteúdo não conexo ou irrelevante para a matéria em apreciação.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4º  As propostas de consulta pública que envolverem atos normativos sujeitos a despacho presidencial serão formuladas nos termos do disposto no </w:t>
      </w:r>
      <w:hyperlink r:id="rId11" w:history="1">
        <w:r w:rsidRPr="00FE0CD3">
          <w:rPr>
            <w:rFonts w:ascii="Arial" w:eastAsia="Times New Roman" w:hAnsi="Arial" w:cs="Arial"/>
            <w:color w:val="0000FF"/>
            <w:sz w:val="20"/>
            <w:szCs w:val="20"/>
            <w:u w:val="single"/>
            <w:lang w:eastAsia="pt-BR"/>
          </w:rPr>
          <w:t>Decreto nº 9.191, de 1º de novembro de 2017</w:t>
        </w:r>
      </w:hyperlink>
      <w:r w:rsidRPr="00FE0CD3">
        <w:rPr>
          <w:rFonts w:ascii="Arial" w:eastAsia="Times New Roman" w:hAnsi="Arial" w:cs="Arial"/>
          <w:color w:val="000000"/>
          <w:sz w:val="20"/>
          <w:szCs w:val="20"/>
          <w:lang w:eastAsia="pt-BR"/>
        </w:rPr>
        <w:t>.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Segurança jurídica na aplicação das normas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8" w:name="art19"/>
      <w:bookmarkEnd w:id="18"/>
      <w:r w:rsidRPr="00FE0CD3">
        <w:rPr>
          <w:rFonts w:ascii="Arial" w:eastAsia="Times New Roman" w:hAnsi="Arial" w:cs="Arial"/>
          <w:color w:val="000000"/>
          <w:sz w:val="20"/>
          <w:szCs w:val="20"/>
          <w:lang w:eastAsia="pt-BR"/>
        </w:rPr>
        <w:t>Art. 19.  As autoridades públicas atuarão com vistas a aumentar a segurança jurídica na aplicação das normas, inclusive por meio de normas complementares, orientações normativas, súmulas, enunciados e respostas a consultas.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Parágrafo único.  Os instrumentos previstos no </w:t>
      </w:r>
      <w:r w:rsidRPr="00FE0CD3">
        <w:rPr>
          <w:rFonts w:ascii="Arial" w:eastAsia="Times New Roman" w:hAnsi="Arial" w:cs="Arial"/>
          <w:b/>
          <w:bCs/>
          <w:color w:val="000000"/>
          <w:sz w:val="20"/>
          <w:szCs w:val="20"/>
          <w:lang w:eastAsia="pt-BR"/>
        </w:rPr>
        <w:t>caput</w:t>
      </w:r>
      <w:r w:rsidRPr="00FE0CD3">
        <w:rPr>
          <w:rFonts w:ascii="Arial" w:eastAsia="Times New Roman" w:hAnsi="Arial" w:cs="Arial"/>
          <w:color w:val="000000"/>
          <w:sz w:val="20"/>
          <w:szCs w:val="20"/>
          <w:lang w:eastAsia="pt-BR"/>
        </w:rPr>
        <w:t> terão caráter vinculante em relação ao órgão ou à entidade da administração pública a que se destinarem, até ulterior revisão.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Parecer do Advogado-Geral da União e de consultorias jurídicas e súmulas da Advocacia-Geral da União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19" w:name="art20"/>
      <w:bookmarkEnd w:id="19"/>
      <w:r w:rsidRPr="00FE0CD3">
        <w:rPr>
          <w:rFonts w:ascii="Arial" w:eastAsia="Times New Roman" w:hAnsi="Arial" w:cs="Arial"/>
          <w:color w:val="000000"/>
          <w:sz w:val="20"/>
          <w:szCs w:val="20"/>
          <w:lang w:eastAsia="pt-BR"/>
        </w:rPr>
        <w:t>Art. 20.  O parecer do Advogado-Geral da União de que tratam os </w:t>
      </w:r>
      <w:hyperlink r:id="rId12" w:anchor="art40" w:history="1">
        <w:r w:rsidRPr="00FE0CD3">
          <w:rPr>
            <w:rFonts w:ascii="Arial" w:eastAsia="Times New Roman" w:hAnsi="Arial" w:cs="Arial"/>
            <w:color w:val="0000FF"/>
            <w:sz w:val="20"/>
            <w:szCs w:val="20"/>
            <w:u w:val="single"/>
            <w:lang w:eastAsia="pt-BR"/>
          </w:rPr>
          <w:t>art. 40</w:t>
        </w:r>
      </w:hyperlink>
      <w:r w:rsidRPr="00FE0CD3">
        <w:rPr>
          <w:rFonts w:ascii="Arial" w:eastAsia="Times New Roman" w:hAnsi="Arial" w:cs="Arial"/>
          <w:color w:val="000000"/>
          <w:sz w:val="20"/>
          <w:szCs w:val="20"/>
          <w:lang w:eastAsia="pt-BR"/>
        </w:rPr>
        <w:t> e </w:t>
      </w:r>
      <w:hyperlink r:id="rId13" w:anchor="art41" w:history="1">
        <w:r w:rsidRPr="00FE0CD3">
          <w:rPr>
            <w:rFonts w:ascii="Arial" w:eastAsia="Times New Roman" w:hAnsi="Arial" w:cs="Arial"/>
            <w:color w:val="0000FF"/>
            <w:sz w:val="20"/>
            <w:szCs w:val="20"/>
            <w:u w:val="single"/>
            <w:lang w:eastAsia="pt-BR"/>
          </w:rPr>
          <w:t>art. 41 da Lei Complementar nº 73, 10 de fevereiro de 1993</w:t>
        </w:r>
      </w:hyperlink>
      <w:r w:rsidRPr="00FE0CD3">
        <w:rPr>
          <w:rFonts w:ascii="Arial" w:eastAsia="Times New Roman" w:hAnsi="Arial" w:cs="Arial"/>
          <w:color w:val="000000"/>
          <w:sz w:val="20"/>
          <w:szCs w:val="20"/>
          <w:lang w:eastAsia="pt-BR"/>
        </w:rPr>
        <w:t>, aprovado pelo Presidente da República e publicado no Diário Oficial da União juntamente com o despacho presidencial, vincula os órgãos e as entidades da administração pública federal, que ficam obrigados a lhe dar fiel cumprimento.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O</w:t>
      </w:r>
      <w:proofErr w:type="gramEnd"/>
      <w:r w:rsidRPr="00FE0CD3">
        <w:rPr>
          <w:rFonts w:ascii="Arial" w:eastAsia="Times New Roman" w:hAnsi="Arial" w:cs="Arial"/>
          <w:color w:val="000000"/>
          <w:sz w:val="20"/>
          <w:szCs w:val="20"/>
          <w:lang w:eastAsia="pt-BR"/>
        </w:rPr>
        <w:t xml:space="preserve"> parecer do Advogado-Geral da União aprovado pelo Presidente da República, mas não publicado, obriga apenas as repartições interessadas, a partir do momento em que dele tenham ciência.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lastRenderedPageBreak/>
        <w:t>§ 2</w:t>
      </w:r>
      <w:proofErr w:type="gramStart"/>
      <w:r w:rsidRPr="00FE0CD3">
        <w:rPr>
          <w:rFonts w:ascii="Arial" w:eastAsia="Times New Roman" w:hAnsi="Arial" w:cs="Arial"/>
          <w:color w:val="000000"/>
          <w:sz w:val="20"/>
          <w:szCs w:val="20"/>
          <w:lang w:eastAsia="pt-BR"/>
        </w:rPr>
        <w:t>º  Os</w:t>
      </w:r>
      <w:proofErr w:type="gramEnd"/>
      <w:r w:rsidRPr="00FE0CD3">
        <w:rPr>
          <w:rFonts w:ascii="Arial" w:eastAsia="Times New Roman" w:hAnsi="Arial" w:cs="Arial"/>
          <w:color w:val="000000"/>
          <w:sz w:val="20"/>
          <w:szCs w:val="20"/>
          <w:lang w:eastAsia="pt-BR"/>
        </w:rPr>
        <w:t xml:space="preserve"> pareceres de que tratam o </w:t>
      </w:r>
      <w:r w:rsidRPr="00FE0CD3">
        <w:rPr>
          <w:rFonts w:ascii="Arial" w:eastAsia="Times New Roman" w:hAnsi="Arial" w:cs="Arial"/>
          <w:b/>
          <w:bCs/>
          <w:color w:val="000000"/>
          <w:sz w:val="20"/>
          <w:szCs w:val="20"/>
          <w:lang w:eastAsia="pt-BR"/>
        </w:rPr>
        <w:t>caput </w:t>
      </w:r>
      <w:r w:rsidRPr="00FE0CD3">
        <w:rPr>
          <w:rFonts w:ascii="Arial" w:eastAsia="Times New Roman" w:hAnsi="Arial" w:cs="Arial"/>
          <w:color w:val="000000"/>
          <w:sz w:val="20"/>
          <w:szCs w:val="20"/>
          <w:lang w:eastAsia="pt-BR"/>
        </w:rPr>
        <w:t>e o § 1º têm prevalência sobre outros mecanismos de uniformização de entendimento.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20" w:name="art21"/>
      <w:bookmarkEnd w:id="20"/>
      <w:r w:rsidRPr="00FE0CD3">
        <w:rPr>
          <w:rFonts w:ascii="Arial" w:eastAsia="Times New Roman" w:hAnsi="Arial" w:cs="Arial"/>
          <w:color w:val="000000"/>
          <w:sz w:val="20"/>
          <w:szCs w:val="20"/>
          <w:lang w:eastAsia="pt-BR"/>
        </w:rPr>
        <w:t>Art. 21.  Os pareceres das consultorias jurídicas e dos órgãos de assessoramento jurídico, de que trata o </w:t>
      </w:r>
      <w:hyperlink r:id="rId14" w:anchor="art42" w:history="1">
        <w:r w:rsidRPr="00FE0CD3">
          <w:rPr>
            <w:rFonts w:ascii="Arial" w:eastAsia="Times New Roman" w:hAnsi="Arial" w:cs="Arial"/>
            <w:color w:val="0000FF"/>
            <w:sz w:val="20"/>
            <w:szCs w:val="20"/>
            <w:u w:val="single"/>
            <w:lang w:eastAsia="pt-BR"/>
          </w:rPr>
          <w:t>art. 42 da Lei Complementar nº 73, de 1993</w:t>
        </w:r>
      </w:hyperlink>
      <w:r w:rsidRPr="00FE0CD3">
        <w:rPr>
          <w:rFonts w:ascii="Arial" w:eastAsia="Times New Roman" w:hAnsi="Arial" w:cs="Arial"/>
          <w:color w:val="000000"/>
          <w:sz w:val="20"/>
          <w:szCs w:val="20"/>
          <w:lang w:eastAsia="pt-BR"/>
        </w:rPr>
        <w:t>, aprovados pelo respectivo Ministro de Estado, vinculam o órgão e as respectivas entidades vinculadas.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Orientações normativas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21" w:name="art22"/>
      <w:bookmarkEnd w:id="21"/>
      <w:r w:rsidRPr="00FE0CD3">
        <w:rPr>
          <w:rFonts w:ascii="Arial" w:eastAsia="Times New Roman" w:hAnsi="Arial" w:cs="Arial"/>
          <w:color w:val="000000"/>
          <w:sz w:val="20"/>
          <w:szCs w:val="20"/>
          <w:lang w:eastAsia="pt-BR"/>
        </w:rPr>
        <w:t>Art. 22.  A autoridade que representa órgão central de sistema poderá editar orientações normativas ou enunciados que vincularão os órgãos setoriais e seccionais.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1</w:t>
      </w:r>
      <w:proofErr w:type="gramStart"/>
      <w:r w:rsidRPr="00FE0CD3">
        <w:rPr>
          <w:rFonts w:ascii="Arial" w:eastAsia="Times New Roman" w:hAnsi="Arial" w:cs="Arial"/>
          <w:color w:val="000000"/>
          <w:sz w:val="20"/>
          <w:szCs w:val="20"/>
          <w:lang w:eastAsia="pt-BR"/>
        </w:rPr>
        <w:t>º  As</w:t>
      </w:r>
      <w:proofErr w:type="gramEnd"/>
      <w:r w:rsidRPr="00FE0CD3">
        <w:rPr>
          <w:rFonts w:ascii="Arial" w:eastAsia="Times New Roman" w:hAnsi="Arial" w:cs="Arial"/>
          <w:color w:val="000000"/>
          <w:sz w:val="20"/>
          <w:szCs w:val="20"/>
          <w:lang w:eastAsia="pt-BR"/>
        </w:rPr>
        <w:t xml:space="preserve"> controvérsias jurídicas sobre a interpretação de norma, instrução ou orientação de órgão central de sistema poderão ser submetidas à Advocacia-Geral da União.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 2</w:t>
      </w:r>
      <w:proofErr w:type="gramStart"/>
      <w:r w:rsidRPr="00FE0CD3">
        <w:rPr>
          <w:rFonts w:ascii="Arial" w:eastAsia="Times New Roman" w:hAnsi="Arial" w:cs="Arial"/>
          <w:color w:val="000000"/>
          <w:sz w:val="20"/>
          <w:szCs w:val="20"/>
          <w:lang w:eastAsia="pt-BR"/>
        </w:rPr>
        <w:t>º  A</w:t>
      </w:r>
      <w:proofErr w:type="gramEnd"/>
      <w:r w:rsidRPr="00FE0CD3">
        <w:rPr>
          <w:rFonts w:ascii="Arial" w:eastAsia="Times New Roman" w:hAnsi="Arial" w:cs="Arial"/>
          <w:color w:val="000000"/>
          <w:sz w:val="20"/>
          <w:szCs w:val="20"/>
          <w:lang w:eastAsia="pt-BR"/>
        </w:rPr>
        <w:t xml:space="preserve"> submissão à Advocacia-Geral da União de que trata o § 1º será instruída com a posição do órgão jurídico do órgão central de sistema, do órgão jurídico que divergiu e dos outros órgãos que se pronunciaram sobre o caso.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Enunciados</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22" w:name="art23"/>
      <w:bookmarkEnd w:id="22"/>
      <w:r w:rsidRPr="00FE0CD3">
        <w:rPr>
          <w:rFonts w:ascii="Arial" w:eastAsia="Times New Roman" w:hAnsi="Arial" w:cs="Arial"/>
          <w:color w:val="000000"/>
          <w:sz w:val="20"/>
          <w:szCs w:val="20"/>
          <w:lang w:eastAsia="pt-BR"/>
        </w:rPr>
        <w:t>Art. 23.  A autoridade máxima de órgão ou da entidade da administração pública poderá editar enunciados que vinculem o próprio órgão ou a entidade e os seus órgãos subordinados.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Transparência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23" w:name="art24"/>
      <w:bookmarkEnd w:id="23"/>
      <w:r w:rsidRPr="00FE0CD3">
        <w:rPr>
          <w:rFonts w:ascii="Arial" w:eastAsia="Times New Roman" w:hAnsi="Arial" w:cs="Arial"/>
          <w:color w:val="000000"/>
          <w:sz w:val="20"/>
          <w:szCs w:val="20"/>
          <w:lang w:eastAsia="pt-BR"/>
        </w:rPr>
        <w:t>Art. 24.  Compete aos órgãos e às entidades da administração pública manter atualizados, em seus sítios eletrônicos, as normas complementares, as orientações normativas, as súmulas e os enunciados a que se referem os art. 19 ao art. 23. </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b/>
          <w:bCs/>
          <w:color w:val="000000"/>
          <w:sz w:val="20"/>
          <w:szCs w:val="20"/>
          <w:lang w:eastAsia="pt-BR"/>
        </w:rPr>
        <w:t>Vigência</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bookmarkStart w:id="24" w:name="art25"/>
      <w:bookmarkEnd w:id="24"/>
      <w:r w:rsidRPr="00FE0CD3">
        <w:rPr>
          <w:rFonts w:ascii="Arial" w:eastAsia="Times New Roman" w:hAnsi="Arial" w:cs="Arial"/>
          <w:color w:val="000000"/>
          <w:sz w:val="20"/>
          <w:szCs w:val="20"/>
          <w:lang w:eastAsia="pt-BR"/>
        </w:rPr>
        <w:t>Art. 25.  Este Decreto entra em vigor na data de sua publicação.</w:t>
      </w:r>
    </w:p>
    <w:p w:rsidR="00FE0CD3" w:rsidRPr="00FE0CD3" w:rsidRDefault="00FE0CD3" w:rsidP="00FE0CD3">
      <w:pPr>
        <w:spacing w:before="300" w:after="300" w:line="240" w:lineRule="auto"/>
        <w:ind w:firstLine="567"/>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Brasília, 10 de junho de 2019; 198º da Independência e 131º da República. </w:t>
      </w:r>
    </w:p>
    <w:p w:rsidR="00FE0CD3" w:rsidRPr="00FE0CD3" w:rsidRDefault="00FE0CD3" w:rsidP="00FE0CD3">
      <w:pPr>
        <w:spacing w:before="100" w:beforeAutospacing="1" w:after="100" w:afterAutospacing="1" w:line="240" w:lineRule="auto"/>
        <w:jc w:val="both"/>
        <w:rPr>
          <w:rFonts w:ascii="Arial" w:eastAsia="Times New Roman" w:hAnsi="Arial" w:cs="Arial"/>
          <w:color w:val="000000"/>
          <w:sz w:val="20"/>
          <w:szCs w:val="20"/>
          <w:lang w:eastAsia="pt-BR"/>
        </w:rPr>
      </w:pPr>
      <w:r w:rsidRPr="00FE0CD3">
        <w:rPr>
          <w:rFonts w:ascii="Arial" w:eastAsia="Times New Roman" w:hAnsi="Arial" w:cs="Arial"/>
          <w:color w:val="000000"/>
          <w:sz w:val="20"/>
          <w:szCs w:val="20"/>
          <w:lang w:eastAsia="pt-BR"/>
        </w:rPr>
        <w:t>JAIR MESSIAS BOLSONARO</w:t>
      </w:r>
      <w:r w:rsidRPr="00FE0CD3">
        <w:rPr>
          <w:rFonts w:ascii="Arial" w:eastAsia="Times New Roman" w:hAnsi="Arial" w:cs="Arial"/>
          <w:color w:val="000000"/>
          <w:sz w:val="20"/>
          <w:szCs w:val="20"/>
          <w:lang w:eastAsia="pt-BR"/>
        </w:rPr>
        <w:br/>
      </w:r>
      <w:r w:rsidRPr="00FE0CD3">
        <w:rPr>
          <w:rFonts w:ascii="Arial" w:eastAsia="Times New Roman" w:hAnsi="Arial" w:cs="Arial"/>
          <w:i/>
          <w:iCs/>
          <w:color w:val="000000"/>
          <w:sz w:val="20"/>
          <w:szCs w:val="20"/>
          <w:lang w:eastAsia="pt-BR"/>
        </w:rPr>
        <w:t>Paulo Guedes</w:t>
      </w:r>
      <w:r w:rsidRPr="00FE0CD3">
        <w:rPr>
          <w:rFonts w:ascii="Arial" w:eastAsia="Times New Roman" w:hAnsi="Arial" w:cs="Arial"/>
          <w:i/>
          <w:iCs/>
          <w:color w:val="000000"/>
          <w:sz w:val="20"/>
          <w:szCs w:val="20"/>
          <w:lang w:eastAsia="pt-BR"/>
        </w:rPr>
        <w:br/>
        <w:t>Wagner de Campos Rosário</w:t>
      </w:r>
      <w:r w:rsidRPr="00FE0CD3">
        <w:rPr>
          <w:rFonts w:ascii="Arial" w:eastAsia="Times New Roman" w:hAnsi="Arial" w:cs="Arial"/>
          <w:i/>
          <w:iCs/>
          <w:color w:val="000000"/>
          <w:sz w:val="20"/>
          <w:szCs w:val="20"/>
          <w:lang w:eastAsia="pt-BR"/>
        </w:rPr>
        <w:br/>
        <w:t>André Luiz de Almeida Mendonça</w:t>
      </w:r>
    </w:p>
    <w:p w:rsidR="00FE0CD3" w:rsidRPr="00FE0CD3" w:rsidRDefault="00FE0CD3" w:rsidP="00FE0CD3">
      <w:pPr>
        <w:spacing w:before="300" w:after="300" w:line="240" w:lineRule="auto"/>
        <w:jc w:val="both"/>
        <w:rPr>
          <w:rFonts w:ascii="Arial" w:eastAsia="Times New Roman" w:hAnsi="Arial" w:cs="Arial"/>
          <w:color w:val="000000"/>
          <w:sz w:val="20"/>
          <w:szCs w:val="20"/>
          <w:lang w:eastAsia="pt-BR"/>
        </w:rPr>
      </w:pPr>
      <w:r w:rsidRPr="00FE0CD3">
        <w:rPr>
          <w:rFonts w:ascii="Arial" w:eastAsia="Times New Roman" w:hAnsi="Arial" w:cs="Arial"/>
          <w:color w:val="FF0000"/>
          <w:sz w:val="20"/>
          <w:szCs w:val="20"/>
          <w:lang w:eastAsia="pt-BR"/>
        </w:rPr>
        <w:t>Este texto não substitui o publicado no DOU de 11.6.2019</w:t>
      </w:r>
    </w:p>
    <w:p w:rsidR="003E5082" w:rsidRDefault="003E5082">
      <w:bookmarkStart w:id="25" w:name="_GoBack"/>
      <w:bookmarkEnd w:id="25"/>
    </w:p>
    <w:sectPr w:rsidR="003E50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D3"/>
    <w:rsid w:val="003E5082"/>
    <w:rsid w:val="00FE0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9D190-8C0D-4376-8E58-570665FF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E0C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E0CD3"/>
    <w:rPr>
      <w:b/>
      <w:bCs/>
    </w:rPr>
  </w:style>
  <w:style w:type="character" w:styleId="Hyperlink">
    <w:name w:val="Hyperlink"/>
    <w:basedOn w:val="Fontepargpadro"/>
    <w:uiPriority w:val="99"/>
    <w:semiHidden/>
    <w:unhideWhenUsed/>
    <w:rsid w:val="00FE0CD3"/>
    <w:rPr>
      <w:color w:val="0000FF"/>
      <w:u w:val="single"/>
    </w:rPr>
  </w:style>
  <w:style w:type="paragraph" w:customStyle="1" w:styleId="textbody">
    <w:name w:val="textbody"/>
    <w:basedOn w:val="Normal"/>
    <w:rsid w:val="00FE0C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FE0CD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80425">
      <w:bodyDiv w:val="1"/>
      <w:marLeft w:val="0"/>
      <w:marRight w:val="0"/>
      <w:marTop w:val="0"/>
      <w:marBottom w:val="0"/>
      <w:divBdr>
        <w:top w:val="none" w:sz="0" w:space="0" w:color="auto"/>
        <w:left w:val="none" w:sz="0" w:space="0" w:color="auto"/>
        <w:bottom w:val="none" w:sz="0" w:space="0" w:color="auto"/>
        <w:right w:val="none" w:sz="0" w:space="0" w:color="auto"/>
      </w:divBdr>
      <w:divsChild>
        <w:div w:id="79032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LEIS/LCP/Lcp73.htm" TargetMode="External"/><Relationship Id="rId3" Type="http://schemas.openxmlformats.org/officeDocument/2006/relationships/webSettings" Target="webSettings.xml"/><Relationship Id="rId7" Type="http://schemas.openxmlformats.org/officeDocument/2006/relationships/hyperlink" Target="http://www.planalto.gov.br/ccivil_03/LEIS/L9469.htm" TargetMode="External"/><Relationship Id="rId12" Type="http://schemas.openxmlformats.org/officeDocument/2006/relationships/hyperlink" Target="http://www.planalto.gov.br/ccivil_03/LEIS/LCP/Lcp73.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LEIS/L9469.htm" TargetMode="External"/><Relationship Id="rId11" Type="http://schemas.openxmlformats.org/officeDocument/2006/relationships/hyperlink" Target="http://www.planalto.gov.br/ccivil_03/_Ato2015-2018/2017/Decreto/D9191.htm" TargetMode="External"/><Relationship Id="rId5" Type="http://schemas.openxmlformats.org/officeDocument/2006/relationships/hyperlink" Target="http://www.planalto.gov.br/ccivil_03/LEIS/L9469.htm" TargetMode="External"/><Relationship Id="rId15" Type="http://schemas.openxmlformats.org/officeDocument/2006/relationships/fontTable" Target="fontTable.xml"/><Relationship Id="rId10" Type="http://schemas.openxmlformats.org/officeDocument/2006/relationships/hyperlink" Target="http://www.planalto.gov.br/ccivil_03/LEIS/L9028.htm" TargetMode="External"/><Relationship Id="rId4" Type="http://schemas.openxmlformats.org/officeDocument/2006/relationships/hyperlink" Target="http://www.planalto.gov.br/ccivil_03/Decreto-Lei/Del4657.htm" TargetMode="External"/><Relationship Id="rId9" Type="http://schemas.openxmlformats.org/officeDocument/2006/relationships/hyperlink" Target="http://www.planalto.gov.br/ccivil_03/Decreto-Lei/Del4657.htm" TargetMode="External"/><Relationship Id="rId14" Type="http://schemas.openxmlformats.org/officeDocument/2006/relationships/hyperlink" Target="http://www.planalto.gov.br/ccivil_03/LEIS/LCP/Lcp7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3036</Words>
  <Characters>16400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Cassio Nicolellis</dc:creator>
  <cp:keywords/>
  <dc:description/>
  <cp:lastModifiedBy>Cassio Nicolellis</cp:lastModifiedBy>
  <cp:revision>1</cp:revision>
  <dcterms:created xsi:type="dcterms:W3CDTF">2019-06-11T19:58:00Z</dcterms:created>
  <dcterms:modified xsi:type="dcterms:W3CDTF">2019-06-11T19:59:00Z</dcterms:modified>
</cp:coreProperties>
</file>